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4D" w:rsidRPr="00766071" w:rsidRDefault="00CB324D">
      <w:pPr>
        <w:spacing w:after="0" w:line="240" w:lineRule="auto"/>
        <w:jc w:val="both"/>
        <w:rPr>
          <w:rFonts w:ascii="Arial" w:eastAsia="Open Sans" w:hAnsi="Arial" w:cs="Arial"/>
          <w:b/>
          <w:sz w:val="24"/>
          <w:szCs w:val="24"/>
        </w:rPr>
      </w:pPr>
    </w:p>
    <w:p w:rsidR="00766071" w:rsidRDefault="00766071">
      <w:pPr>
        <w:spacing w:after="0" w:line="240" w:lineRule="auto"/>
        <w:jc w:val="both"/>
        <w:rPr>
          <w:rFonts w:ascii="Arial" w:eastAsia="Open Sans" w:hAnsi="Arial" w:cs="Arial"/>
          <w:b/>
          <w:sz w:val="24"/>
          <w:szCs w:val="24"/>
        </w:rPr>
      </w:pPr>
    </w:p>
    <w:p w:rsidR="00766071" w:rsidRDefault="00766071" w:rsidP="00CF4665">
      <w:pPr>
        <w:tabs>
          <w:tab w:val="left" w:pos="1838"/>
          <w:tab w:val="center" w:pos="5021"/>
        </w:tabs>
        <w:spacing w:after="120"/>
        <w:jc w:val="center"/>
        <w:rPr>
          <w:rFonts w:ascii="Arial" w:hAnsi="Arial" w:cs="Arial"/>
          <w:sz w:val="52"/>
          <w:szCs w:val="52"/>
        </w:rPr>
      </w:pPr>
      <w:r>
        <w:rPr>
          <w:rFonts w:ascii="Arial" w:hAnsi="Arial" w:cs="Arial"/>
          <w:sz w:val="52"/>
          <w:szCs w:val="52"/>
        </w:rPr>
        <w:t>Sturminster Newton High School</w:t>
      </w:r>
    </w:p>
    <w:p w:rsidR="00766071" w:rsidRDefault="00766071" w:rsidP="00CF4665">
      <w:pPr>
        <w:tabs>
          <w:tab w:val="left" w:pos="1838"/>
          <w:tab w:val="center" w:pos="5021"/>
        </w:tabs>
        <w:spacing w:after="120"/>
        <w:jc w:val="center"/>
        <w:rPr>
          <w:rFonts w:ascii="Arial" w:hAnsi="Arial" w:cs="Arial"/>
          <w:sz w:val="52"/>
          <w:szCs w:val="52"/>
        </w:rPr>
      </w:pPr>
      <w:r>
        <w:rPr>
          <w:noProof/>
          <w:szCs w:val="72"/>
        </w:rPr>
        <w:drawing>
          <wp:anchor distT="0" distB="0" distL="114300" distR="114300" simplePos="0" relativeHeight="251663360" behindDoc="1" locked="0" layoutInCell="1" allowOverlap="1" wp14:anchorId="25808B44" wp14:editId="4F6B6354">
            <wp:simplePos x="0" y="0"/>
            <wp:positionH relativeFrom="margin">
              <wp:align>center</wp:align>
            </wp:positionH>
            <wp:positionV relativeFrom="paragraph">
              <wp:posOffset>275590</wp:posOffset>
            </wp:positionV>
            <wp:extent cx="540000" cy="557994"/>
            <wp:effectExtent l="0" t="0" r="0" b="0"/>
            <wp:wrapTight wrapText="bothSides">
              <wp:wrapPolygon edited="0">
                <wp:start x="1525" y="0"/>
                <wp:lineTo x="0" y="4428"/>
                <wp:lineTo x="0" y="19189"/>
                <wp:lineTo x="8386" y="20665"/>
                <wp:lineTo x="12960" y="20665"/>
                <wp:lineTo x="20584" y="17713"/>
                <wp:lineTo x="20584" y="4428"/>
                <wp:lineTo x="19059" y="0"/>
                <wp:lineTo x="152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 badge no bord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57994"/>
                    </a:xfrm>
                    <a:prstGeom prst="rect">
                      <a:avLst/>
                    </a:prstGeom>
                  </pic:spPr>
                </pic:pic>
              </a:graphicData>
            </a:graphic>
            <wp14:sizeRelH relativeFrom="page">
              <wp14:pctWidth>0</wp14:pctWidth>
            </wp14:sizeRelH>
            <wp14:sizeRelV relativeFrom="page">
              <wp14:pctHeight>0</wp14:pctHeight>
            </wp14:sizeRelV>
          </wp:anchor>
        </w:drawing>
      </w:r>
    </w:p>
    <w:p w:rsidR="00766071" w:rsidRPr="00020B91" w:rsidRDefault="00766071" w:rsidP="00CF4665">
      <w:pPr>
        <w:tabs>
          <w:tab w:val="left" w:pos="1838"/>
          <w:tab w:val="center" w:pos="5021"/>
        </w:tabs>
        <w:spacing w:after="120"/>
        <w:rPr>
          <w:rFonts w:ascii="Arial" w:hAnsi="Arial" w:cs="Arial"/>
          <w:sz w:val="52"/>
          <w:szCs w:val="52"/>
        </w:rPr>
      </w:pPr>
    </w:p>
    <w:p w:rsidR="00766071" w:rsidRDefault="00386CC8" w:rsidP="00CF4665">
      <w:pPr>
        <w:spacing w:after="120"/>
        <w:jc w:val="center"/>
        <w:rPr>
          <w:rFonts w:ascii="Arial" w:hAnsi="Arial" w:cs="Arial"/>
          <w:color w:val="4BACC6" w:themeColor="accent5"/>
          <w:sz w:val="72"/>
          <w:szCs w:val="72"/>
        </w:rPr>
      </w:pPr>
      <w:r>
        <w:rPr>
          <w:rFonts w:ascii="Arial" w:hAnsi="Arial" w:cs="Arial"/>
          <w:color w:val="4BACC6" w:themeColor="accent5"/>
          <w:sz w:val="72"/>
          <w:szCs w:val="72"/>
        </w:rPr>
        <w:t>Counselling Policy</w:t>
      </w:r>
    </w:p>
    <w:p w:rsidR="00766071" w:rsidRPr="00A32A26" w:rsidRDefault="00386CC8" w:rsidP="00CF4665">
      <w:pPr>
        <w:spacing w:after="120"/>
        <w:jc w:val="center"/>
        <w:rPr>
          <w:rFonts w:ascii="Arial" w:hAnsi="Arial" w:cs="Arial"/>
          <w:color w:val="365F91" w:themeColor="accent1" w:themeShade="BF"/>
          <w:sz w:val="72"/>
          <w:szCs w:val="72"/>
        </w:rPr>
      </w:pPr>
      <w:r>
        <w:rPr>
          <w:rFonts w:ascii="Arial" w:hAnsi="Arial" w:cs="Arial"/>
          <w:color w:val="4BACC6" w:themeColor="accent5"/>
          <w:sz w:val="72"/>
          <w:szCs w:val="72"/>
        </w:rPr>
        <w:t>January 2024</w:t>
      </w:r>
    </w:p>
    <w:p w:rsidR="00766071" w:rsidRDefault="00766071" w:rsidP="00CF4665">
      <w:pPr>
        <w:spacing w:after="120"/>
        <w:rPr>
          <w:rFonts w:ascii="Arial" w:hAnsi="Arial" w:cs="Arial"/>
        </w:rPr>
      </w:pPr>
    </w:p>
    <w:p w:rsidR="00E92FFE" w:rsidRDefault="00E92FFE" w:rsidP="00CF4665">
      <w:pPr>
        <w:spacing w:after="120"/>
        <w:rPr>
          <w:rFonts w:ascii="Arial" w:hAnsi="Arial" w:cs="Arial"/>
        </w:rPr>
      </w:pPr>
    </w:p>
    <w:p w:rsidR="00E92FFE" w:rsidRDefault="00E92FFE" w:rsidP="00CF4665">
      <w:pPr>
        <w:spacing w:after="120"/>
        <w:rPr>
          <w:rFonts w:ascii="Arial" w:hAnsi="Arial" w:cs="Arial"/>
        </w:rPr>
      </w:pPr>
    </w:p>
    <w:p w:rsidR="00E92FFE" w:rsidRDefault="00E92FFE" w:rsidP="00CF4665">
      <w:pPr>
        <w:spacing w:after="120"/>
        <w:rPr>
          <w:rFonts w:ascii="Arial" w:hAnsi="Arial" w:cs="Arial"/>
        </w:rPr>
      </w:pPr>
    </w:p>
    <w:p w:rsidR="00E92FFE" w:rsidRDefault="00E92FFE" w:rsidP="00CF4665">
      <w:pPr>
        <w:spacing w:after="120"/>
        <w:rPr>
          <w:rFonts w:ascii="Arial" w:hAnsi="Arial" w:cs="Arial"/>
        </w:rPr>
      </w:pPr>
    </w:p>
    <w:p w:rsidR="00766071" w:rsidRPr="00A32A26" w:rsidRDefault="00766071" w:rsidP="00CF4665">
      <w:pPr>
        <w:spacing w:after="120"/>
        <w:rPr>
          <w:rFonts w:ascii="Arial" w:hAnsi="Arial" w:cs="Arial"/>
        </w:rPr>
      </w:pPr>
    </w:p>
    <w:p w:rsidR="00766071" w:rsidRDefault="00766071" w:rsidP="00CF4665">
      <w:pPr>
        <w:spacing w:after="120"/>
        <w:jc w:val="center"/>
        <w:rPr>
          <w:rFonts w:ascii="Arial" w:hAnsi="Arial" w:cs="Arial"/>
        </w:rPr>
      </w:pPr>
      <w:r>
        <w:rPr>
          <w:rFonts w:ascii="Arial" w:hAnsi="Arial" w:cs="Arial"/>
        </w:rPr>
        <w:t>Executive Headteacher – Mrs D London-Hill</w:t>
      </w:r>
    </w:p>
    <w:p w:rsidR="00766071" w:rsidRDefault="00766071" w:rsidP="00CF4665">
      <w:pPr>
        <w:spacing w:after="120"/>
        <w:jc w:val="center"/>
        <w:rPr>
          <w:rFonts w:ascii="Arial" w:hAnsi="Arial" w:cs="Arial"/>
        </w:rPr>
      </w:pPr>
      <w:r w:rsidRPr="007E4D1F">
        <w:rPr>
          <w:rFonts w:ascii="Arial" w:hAnsi="Arial" w:cs="Arial"/>
        </w:rPr>
        <w:t>Headteacher – Mr J Davis</w:t>
      </w:r>
    </w:p>
    <w:p w:rsidR="00766071" w:rsidRPr="007E4D1F" w:rsidRDefault="00766071" w:rsidP="00CF4665">
      <w:pPr>
        <w:spacing w:after="120"/>
        <w:jc w:val="center"/>
        <w:rPr>
          <w:rFonts w:ascii="Arial" w:hAnsi="Arial" w:cs="Arial"/>
        </w:rPr>
      </w:pPr>
      <w:r>
        <w:rPr>
          <w:rFonts w:ascii="Arial" w:hAnsi="Arial" w:cs="Arial"/>
        </w:rPr>
        <w:t>Deputy Headteacher – Mr G Chapman</w:t>
      </w:r>
    </w:p>
    <w:p w:rsidR="00766071" w:rsidRPr="007E4D1F" w:rsidRDefault="00766071" w:rsidP="00CF4665">
      <w:pPr>
        <w:spacing w:after="120"/>
        <w:jc w:val="center"/>
        <w:rPr>
          <w:rFonts w:ascii="Arial" w:hAnsi="Arial" w:cs="Arial"/>
        </w:rPr>
      </w:pPr>
      <w:r w:rsidRPr="007E4D1F">
        <w:rPr>
          <w:rFonts w:ascii="Arial" w:hAnsi="Arial" w:cs="Arial"/>
        </w:rPr>
        <w:t>Deputy Headteacher – Mr D Harris</w:t>
      </w:r>
    </w:p>
    <w:p w:rsidR="00766071" w:rsidRDefault="00766071" w:rsidP="00CF4665">
      <w:pPr>
        <w:spacing w:after="120"/>
        <w:jc w:val="center"/>
        <w:rPr>
          <w:rFonts w:ascii="Arial" w:hAnsi="Arial" w:cs="Arial"/>
        </w:rPr>
      </w:pPr>
      <w:r w:rsidRPr="007E4D1F">
        <w:rPr>
          <w:rFonts w:ascii="Arial" w:hAnsi="Arial" w:cs="Arial"/>
        </w:rPr>
        <w:t>Assistant Headteacher</w:t>
      </w:r>
      <w:r>
        <w:rPr>
          <w:rFonts w:ascii="Arial" w:hAnsi="Arial" w:cs="Arial"/>
        </w:rPr>
        <w:t xml:space="preserve"> </w:t>
      </w:r>
      <w:r w:rsidRPr="007E4D1F">
        <w:rPr>
          <w:rFonts w:ascii="Arial" w:hAnsi="Arial" w:cs="Arial"/>
        </w:rPr>
        <w:t>– Mr P Mattocks</w:t>
      </w:r>
    </w:p>
    <w:p w:rsidR="00766071" w:rsidRPr="007E4D1F" w:rsidRDefault="00766071" w:rsidP="00CF4665">
      <w:pPr>
        <w:spacing w:after="120"/>
        <w:jc w:val="center"/>
        <w:rPr>
          <w:rFonts w:ascii="Arial" w:hAnsi="Arial" w:cs="Arial"/>
        </w:rPr>
      </w:pPr>
      <w:r>
        <w:rPr>
          <w:rFonts w:ascii="Arial" w:hAnsi="Arial" w:cs="Arial"/>
        </w:rPr>
        <w:t>Assistant Headteacher – Mrs K Thompson</w:t>
      </w:r>
    </w:p>
    <w:p w:rsidR="00766071" w:rsidRDefault="00766071" w:rsidP="00CF4665">
      <w:pPr>
        <w:spacing w:after="120"/>
        <w:rPr>
          <w:rFonts w:ascii="Arial" w:hAnsi="Arial" w:cs="Arial"/>
          <w:color w:val="365F91" w:themeColor="accent1" w:themeShade="BF"/>
        </w:rPr>
      </w:pPr>
    </w:p>
    <w:p w:rsidR="00766071" w:rsidRPr="00DD6036" w:rsidRDefault="00766071" w:rsidP="00CF4665">
      <w:pPr>
        <w:pStyle w:val="NormalWeb"/>
        <w:spacing w:before="0" w:beforeAutospacing="0" w:after="120" w:afterAutospacing="0" w:line="276" w:lineRule="auto"/>
        <w:rPr>
          <w:rFonts w:ascii="Arial" w:hAnsi="Arial" w:cs="Arial"/>
          <w:b/>
          <w:color w:val="000000"/>
          <w:sz w:val="22"/>
          <w:szCs w:val="22"/>
        </w:rPr>
      </w:pPr>
      <w:r w:rsidRPr="00DD6036">
        <w:rPr>
          <w:rFonts w:ascii="Arial" w:hAnsi="Arial" w:cs="Arial"/>
          <w:b/>
          <w:color w:val="000000"/>
          <w:sz w:val="22"/>
          <w:szCs w:val="22"/>
        </w:rPr>
        <w:t>Policy Reviewing</w:t>
      </w:r>
    </w:p>
    <w:p w:rsidR="00766071" w:rsidRPr="00DD6036" w:rsidRDefault="00766071" w:rsidP="00CF4665">
      <w:pPr>
        <w:pStyle w:val="NormalWeb"/>
        <w:spacing w:before="0" w:beforeAutospacing="0" w:after="120" w:afterAutospacing="0" w:line="276" w:lineRule="auto"/>
        <w:rPr>
          <w:rFonts w:ascii="Arial" w:hAnsi="Arial" w:cs="Arial"/>
          <w:color w:val="000000"/>
          <w:sz w:val="22"/>
          <w:szCs w:val="22"/>
        </w:rPr>
      </w:pPr>
      <w:r w:rsidRPr="00DD6036">
        <w:rPr>
          <w:rFonts w:ascii="Arial" w:hAnsi="Arial" w:cs="Arial"/>
          <w:color w:val="000000"/>
          <w:sz w:val="22"/>
          <w:szCs w:val="22"/>
        </w:rPr>
        <w:t xml:space="preserve">Policy Status/Review Programme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Yearly </w:t>
      </w:r>
    </w:p>
    <w:p w:rsidR="00766071" w:rsidRPr="00DD6036" w:rsidRDefault="00766071" w:rsidP="00CF4665">
      <w:pPr>
        <w:pStyle w:val="NormalWeb"/>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 xml:space="preserve">Reviewed by </w:t>
      </w:r>
      <w:r w:rsidRPr="00DD6036">
        <w:rPr>
          <w:rFonts w:ascii="Arial" w:hAnsi="Arial" w:cs="Arial"/>
          <w:color w:val="000000"/>
          <w:sz w:val="22"/>
          <w:szCs w:val="22"/>
        </w:rPr>
        <w:t xml:space="preserve">SLT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97F54">
        <w:rPr>
          <w:rFonts w:ascii="Arial" w:hAnsi="Arial" w:cs="Arial"/>
          <w:color w:val="000000"/>
          <w:sz w:val="22"/>
          <w:szCs w:val="22"/>
        </w:rPr>
        <w:t>January 2024</w:t>
      </w:r>
    </w:p>
    <w:p w:rsidR="00766071" w:rsidRPr="00DD6036" w:rsidRDefault="00766071" w:rsidP="00CF4665">
      <w:pPr>
        <w:pStyle w:val="NormalWeb"/>
        <w:spacing w:before="0" w:beforeAutospacing="0" w:after="120" w:afterAutospacing="0" w:line="276" w:lineRule="auto"/>
        <w:rPr>
          <w:rFonts w:ascii="Arial" w:hAnsi="Arial" w:cs="Arial"/>
          <w:color w:val="000000"/>
          <w:sz w:val="22"/>
          <w:szCs w:val="22"/>
        </w:rPr>
      </w:pPr>
      <w:r w:rsidRPr="00DD6036">
        <w:rPr>
          <w:rFonts w:ascii="Arial" w:hAnsi="Arial" w:cs="Arial"/>
          <w:color w:val="000000"/>
          <w:sz w:val="22"/>
          <w:szCs w:val="22"/>
        </w:rPr>
        <w:t xml:space="preserve">Effective from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97F54">
        <w:rPr>
          <w:rFonts w:ascii="Arial" w:hAnsi="Arial" w:cs="Arial"/>
          <w:color w:val="000000"/>
          <w:sz w:val="22"/>
          <w:szCs w:val="22"/>
        </w:rPr>
        <w:t>January 2024</w:t>
      </w:r>
    </w:p>
    <w:p w:rsidR="00766071" w:rsidRPr="00DD6036" w:rsidRDefault="00766071" w:rsidP="00CF4665">
      <w:pPr>
        <w:pStyle w:val="NormalWeb"/>
        <w:spacing w:before="0" w:beforeAutospacing="0" w:after="120" w:afterAutospacing="0" w:line="276" w:lineRule="auto"/>
        <w:rPr>
          <w:rFonts w:ascii="Arial" w:hAnsi="Arial" w:cs="Arial"/>
          <w:color w:val="000000"/>
          <w:sz w:val="22"/>
          <w:szCs w:val="22"/>
        </w:rPr>
      </w:pPr>
      <w:r w:rsidRPr="00DD6036">
        <w:rPr>
          <w:rFonts w:ascii="Arial" w:hAnsi="Arial" w:cs="Arial"/>
          <w:color w:val="000000"/>
          <w:sz w:val="22"/>
          <w:szCs w:val="22"/>
        </w:rPr>
        <w:t xml:space="preserve">Review scheduled for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97F54">
        <w:rPr>
          <w:rFonts w:ascii="Arial" w:hAnsi="Arial" w:cs="Arial"/>
          <w:color w:val="000000"/>
          <w:sz w:val="22"/>
          <w:szCs w:val="22"/>
        </w:rPr>
        <w:t>January 2025</w:t>
      </w:r>
    </w:p>
    <w:p w:rsidR="00386CC8" w:rsidRDefault="00766071" w:rsidP="00CF4665">
      <w:pPr>
        <w:pStyle w:val="NormalWeb"/>
        <w:spacing w:before="0" w:beforeAutospacing="0" w:after="120" w:afterAutospacing="0" w:line="276" w:lineRule="auto"/>
        <w:rPr>
          <w:rFonts w:ascii="Arial" w:hAnsi="Arial" w:cs="Arial"/>
          <w:color w:val="000000"/>
          <w:sz w:val="22"/>
          <w:szCs w:val="22"/>
        </w:rPr>
      </w:pPr>
      <w:r w:rsidRPr="00DD6036">
        <w:rPr>
          <w:rFonts w:ascii="Arial" w:hAnsi="Arial" w:cs="Arial"/>
          <w:color w:val="000000"/>
          <w:sz w:val="22"/>
          <w:szCs w:val="22"/>
        </w:rPr>
        <w:t xml:space="preserve">Responsible Person </w:t>
      </w:r>
      <w:r>
        <w:rPr>
          <w:rFonts w:ascii="Arial" w:hAnsi="Arial" w:cs="Arial"/>
          <w:color w:val="000000"/>
          <w:sz w:val="22"/>
          <w:szCs w:val="22"/>
        </w:rPr>
        <w:tab/>
      </w:r>
      <w:r w:rsidR="00386CC8">
        <w:rPr>
          <w:rFonts w:ascii="Arial" w:hAnsi="Arial" w:cs="Arial"/>
          <w:color w:val="000000"/>
          <w:sz w:val="22"/>
          <w:szCs w:val="22"/>
        </w:rPr>
        <w:tab/>
      </w:r>
      <w:r w:rsidR="00997F54">
        <w:rPr>
          <w:rFonts w:ascii="Arial" w:hAnsi="Arial" w:cs="Arial"/>
          <w:color w:val="000000"/>
          <w:sz w:val="22"/>
          <w:szCs w:val="22"/>
        </w:rPr>
        <w:tab/>
      </w:r>
      <w:r w:rsidR="00997F54">
        <w:rPr>
          <w:rFonts w:ascii="Arial" w:hAnsi="Arial" w:cs="Arial"/>
          <w:color w:val="000000"/>
          <w:sz w:val="22"/>
          <w:szCs w:val="22"/>
        </w:rPr>
        <w:tab/>
      </w:r>
      <w:r w:rsidR="00997F54">
        <w:rPr>
          <w:rFonts w:ascii="Arial" w:hAnsi="Arial" w:cs="Arial"/>
          <w:color w:val="000000"/>
          <w:sz w:val="22"/>
          <w:szCs w:val="22"/>
        </w:rPr>
        <w:tab/>
        <w:t>SLT / Assistant Hedteacher</w:t>
      </w:r>
      <w:r w:rsidR="00386CC8">
        <w:rPr>
          <w:rFonts w:ascii="Arial" w:hAnsi="Arial" w:cs="Arial"/>
          <w:color w:val="000000"/>
          <w:sz w:val="22"/>
          <w:szCs w:val="22"/>
        </w:rPr>
        <w:tab/>
      </w:r>
      <w:r w:rsidR="00386CC8">
        <w:rPr>
          <w:rFonts w:ascii="Arial" w:hAnsi="Arial" w:cs="Arial"/>
          <w:color w:val="000000"/>
          <w:sz w:val="22"/>
          <w:szCs w:val="22"/>
        </w:rPr>
        <w:tab/>
      </w:r>
      <w:r w:rsidR="00386CC8">
        <w:rPr>
          <w:rFonts w:ascii="Arial" w:hAnsi="Arial" w:cs="Arial"/>
          <w:color w:val="000000"/>
          <w:sz w:val="22"/>
          <w:szCs w:val="22"/>
        </w:rPr>
        <w:tab/>
      </w:r>
    </w:p>
    <w:p w:rsidR="00386CC8" w:rsidRDefault="00386CC8" w:rsidP="00CF4665">
      <w:pPr>
        <w:pStyle w:val="NormalWeb"/>
        <w:spacing w:before="0" w:beforeAutospacing="0" w:after="120" w:afterAutospacing="0" w:line="276" w:lineRule="auto"/>
        <w:rPr>
          <w:rFonts w:ascii="Arial" w:hAnsi="Arial" w:cs="Arial"/>
          <w:color w:val="000000"/>
          <w:sz w:val="22"/>
          <w:szCs w:val="22"/>
        </w:rPr>
      </w:pPr>
    </w:p>
    <w:p w:rsidR="00386CC8" w:rsidRDefault="00386CC8" w:rsidP="00CF4665">
      <w:pPr>
        <w:pStyle w:val="NormalWeb"/>
        <w:spacing w:before="0" w:beforeAutospacing="0" w:after="120" w:afterAutospacing="0" w:line="276" w:lineRule="auto"/>
        <w:rPr>
          <w:rFonts w:ascii="Arial" w:hAnsi="Arial" w:cs="Arial"/>
          <w:color w:val="000000"/>
          <w:sz w:val="22"/>
          <w:szCs w:val="22"/>
        </w:rPr>
      </w:pPr>
    </w:p>
    <w:p w:rsidR="00EC4A1E" w:rsidRPr="00DD6036" w:rsidRDefault="00EC4A1E" w:rsidP="00CF4665">
      <w:pPr>
        <w:pStyle w:val="NormalWeb"/>
        <w:spacing w:before="0" w:beforeAutospacing="0" w:after="120" w:afterAutospacing="0" w:line="276" w:lineRule="auto"/>
        <w:rPr>
          <w:rFonts w:ascii="Arial" w:hAnsi="Arial" w:cs="Arial"/>
          <w:color w:val="000000"/>
          <w:sz w:val="22"/>
          <w:szCs w:val="22"/>
        </w:rPr>
      </w:pPr>
      <w:r w:rsidRPr="00DD6036">
        <w:rPr>
          <w:rFonts w:ascii="Arial" w:hAnsi="Arial" w:cs="Arial"/>
          <w:color w:val="000000"/>
          <w:sz w:val="22"/>
          <w:szCs w:val="22"/>
        </w:rPr>
        <w:t xml:space="preserve">Ratified by </w:t>
      </w:r>
      <w:r w:rsidR="008C2650">
        <w:rPr>
          <w:rFonts w:ascii="Arial" w:hAnsi="Arial" w:cs="Arial"/>
        </w:rPr>
        <w:t>Academy Committee</w:t>
      </w:r>
      <w:r w:rsidRPr="00EC4A1E">
        <w:rPr>
          <w:rFonts w:ascii="Arial" w:hAnsi="Arial" w:cs="Arial"/>
          <w:color w:val="000000"/>
          <w:sz w:val="22"/>
          <w:szCs w:val="22"/>
        </w:rPr>
        <w:tab/>
      </w:r>
      <w:r w:rsidR="008C2650">
        <w:rPr>
          <w:rFonts w:ascii="Arial" w:hAnsi="Arial" w:cs="Arial"/>
          <w:color w:val="000000"/>
          <w:sz w:val="22"/>
          <w:szCs w:val="22"/>
        </w:rPr>
        <w:tab/>
      </w:r>
      <w:r w:rsidR="008C2650">
        <w:rPr>
          <w:rFonts w:ascii="Arial" w:hAnsi="Arial" w:cs="Arial"/>
          <w:color w:val="000000"/>
          <w:sz w:val="22"/>
          <w:szCs w:val="22"/>
        </w:rPr>
        <w:tab/>
      </w:r>
      <w:r>
        <w:rPr>
          <w:rFonts w:ascii="Arial" w:hAnsi="Arial" w:cs="Arial"/>
          <w:color w:val="000000"/>
          <w:sz w:val="22"/>
          <w:szCs w:val="22"/>
        </w:rPr>
        <w:t>Waiting to be ratified</w:t>
      </w:r>
    </w:p>
    <w:p w:rsidR="00EC4A1E" w:rsidRPr="00DD6036" w:rsidRDefault="00EC4A1E" w:rsidP="00CF4665">
      <w:pPr>
        <w:pStyle w:val="NormalWeb"/>
        <w:spacing w:before="0" w:beforeAutospacing="0" w:after="120" w:afterAutospacing="0" w:line="276" w:lineRule="auto"/>
        <w:rPr>
          <w:rFonts w:ascii="Arial" w:hAnsi="Arial" w:cs="Arial"/>
          <w:color w:val="000000"/>
          <w:sz w:val="22"/>
          <w:szCs w:val="22"/>
        </w:rPr>
      </w:pPr>
    </w:p>
    <w:p w:rsidR="00766071" w:rsidRDefault="00766071" w:rsidP="00CF4665">
      <w:pPr>
        <w:spacing w:after="120"/>
        <w:rPr>
          <w:rFonts w:ascii="Arial" w:hAnsi="Arial" w:cs="Arial"/>
          <w:color w:val="365F91" w:themeColor="accent1" w:themeShade="BF"/>
        </w:rPr>
      </w:pPr>
    </w:p>
    <w:p w:rsidR="00766071" w:rsidRDefault="00766071" w:rsidP="00CF4665">
      <w:pPr>
        <w:spacing w:after="120"/>
        <w:rPr>
          <w:rFonts w:ascii="Arial" w:hAnsi="Arial" w:cs="Arial"/>
          <w:color w:val="365F91" w:themeColor="accent1" w:themeShade="BF"/>
        </w:rPr>
      </w:pPr>
    </w:p>
    <w:p w:rsidR="006D26CE" w:rsidRPr="006D26CE" w:rsidRDefault="00386CC8" w:rsidP="00CF4665">
      <w:pPr>
        <w:keepNext/>
        <w:keepLines/>
        <w:spacing w:after="120" w:line="259" w:lineRule="auto"/>
        <w:ind w:right="4"/>
        <w:jc w:val="both"/>
        <w:outlineLvl w:val="0"/>
        <w:rPr>
          <w:rFonts w:ascii="Arial" w:eastAsia="Gill Sans MT" w:hAnsi="Arial" w:cs="Arial"/>
          <w:b/>
          <w:color w:val="000000"/>
        </w:rPr>
      </w:pPr>
      <w:r>
        <w:rPr>
          <w:rFonts w:ascii="Arial" w:eastAsia="Gill Sans MT" w:hAnsi="Arial" w:cs="Arial"/>
          <w:b/>
          <w:color w:val="000000"/>
        </w:rPr>
        <w:lastRenderedPageBreak/>
        <w:t>Sturminster Newton High School’s</w:t>
      </w:r>
      <w:r w:rsidR="006D26CE" w:rsidRPr="006D26CE">
        <w:rPr>
          <w:rFonts w:ascii="Arial" w:eastAsia="Gill Sans MT" w:hAnsi="Arial" w:cs="Arial"/>
          <w:b/>
          <w:color w:val="000000"/>
        </w:rPr>
        <w:t xml:space="preserve"> Counselling Service: Years 7-13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At </w:t>
      </w:r>
      <w:r w:rsidR="00386CC8">
        <w:rPr>
          <w:rFonts w:ascii="Arial" w:eastAsia="Gill Sans MT" w:hAnsi="Arial" w:cs="Arial"/>
          <w:color w:val="000000"/>
        </w:rPr>
        <w:t>Sturminster Newton High School</w:t>
      </w:r>
      <w:r w:rsidRPr="006D26CE">
        <w:rPr>
          <w:rFonts w:ascii="Arial" w:eastAsia="Gill Sans MT" w:hAnsi="Arial" w:cs="Arial"/>
          <w:color w:val="000000"/>
        </w:rPr>
        <w:t xml:space="preserve"> we seek to meet the needs of the whole person. Our aim is to respond and recognise the talents of every student and provide the most appropriate means of developing their potential. We are mindful that some students from time to time may need additional support and would benefit from having the opportunity to work through some of their difficulties.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As part of our mission statement </w:t>
      </w:r>
      <w:r w:rsidR="00386CC8">
        <w:rPr>
          <w:rFonts w:ascii="Arial" w:eastAsia="Gill Sans MT" w:hAnsi="Arial" w:cs="Arial"/>
          <w:color w:val="000000"/>
        </w:rPr>
        <w:t>Sturminster Newton High School</w:t>
      </w:r>
      <w:r w:rsidRPr="006D26CE">
        <w:rPr>
          <w:rFonts w:ascii="Arial" w:eastAsia="Gill Sans MT" w:hAnsi="Arial" w:cs="Arial"/>
          <w:color w:val="000000"/>
        </w:rPr>
        <w:t xml:space="preserve"> is proud to offer a counselling service for all students between Years</w:t>
      </w:r>
      <w:r w:rsidR="00CF4665">
        <w:rPr>
          <w:rFonts w:ascii="Arial" w:eastAsia="Gill Sans MT" w:hAnsi="Arial" w:cs="Arial"/>
          <w:color w:val="000000"/>
        </w:rPr>
        <w:t xml:space="preserve"> 7 and 13. This is provided by two</w:t>
      </w:r>
      <w:r w:rsidRPr="006D26CE">
        <w:rPr>
          <w:rFonts w:ascii="Arial" w:eastAsia="Gill Sans MT" w:hAnsi="Arial" w:cs="Arial"/>
          <w:color w:val="000000"/>
        </w:rPr>
        <w:t xml:space="preserve"> qualified and experienced counsellor</w:t>
      </w:r>
      <w:r w:rsidR="00CF4665">
        <w:rPr>
          <w:rFonts w:ascii="Arial" w:eastAsia="Gill Sans MT" w:hAnsi="Arial" w:cs="Arial"/>
          <w:color w:val="000000"/>
        </w:rPr>
        <w:t>s who belong</w:t>
      </w:r>
      <w:r w:rsidRPr="006D26CE">
        <w:rPr>
          <w:rFonts w:ascii="Arial" w:eastAsia="Gill Sans MT" w:hAnsi="Arial" w:cs="Arial"/>
          <w:color w:val="000000"/>
        </w:rPr>
        <w:t xml:space="preserve"> to a professional body. The counsellor is available throughout term time to help manage the psychological and emotional well-b</w:t>
      </w:r>
      <w:bookmarkStart w:id="0" w:name="_GoBack"/>
      <w:bookmarkEnd w:id="0"/>
      <w:r w:rsidRPr="006D26CE">
        <w:rPr>
          <w:rFonts w:ascii="Arial" w:eastAsia="Gill Sans MT" w:hAnsi="Arial" w:cs="Arial"/>
          <w:color w:val="000000"/>
        </w:rPr>
        <w:t xml:space="preserve">eing of all students at </w:t>
      </w:r>
      <w:r w:rsidR="00386CC8">
        <w:rPr>
          <w:rFonts w:ascii="Arial" w:eastAsia="Gill Sans MT" w:hAnsi="Arial" w:cs="Arial"/>
          <w:color w:val="000000"/>
        </w:rPr>
        <w:t>Sturminster Newton High School</w:t>
      </w:r>
      <w:r w:rsidRPr="006D26CE">
        <w:rPr>
          <w:rFonts w:ascii="Arial" w:eastAsia="Gill Sans MT" w:hAnsi="Arial" w:cs="Arial"/>
          <w:color w:val="000000"/>
        </w:rPr>
        <w:t xml:space="preserve">.  </w:t>
      </w:r>
    </w:p>
    <w:p w:rsidR="00386CC8"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The school’s counselling service is designed to complement the excellent pastoral system which is acknowledged as one of the strengths of the school. </w:t>
      </w:r>
    </w:p>
    <w:p w:rsidR="00386CC8"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b/>
          <w:color w:val="000000"/>
        </w:rPr>
        <w:t xml:space="preserve">What is counselling and how may it help?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Counselling and Psychotherapy are umbrella terms that cover a range of talking therapies. They are delivered by trained practitioners who work with people over a short or long term to help them bring effective change or enhance their well- being. </w:t>
      </w:r>
    </w:p>
    <w:p w:rsidR="006D26CE" w:rsidRPr="006D26CE" w:rsidRDefault="006D26CE" w:rsidP="00CF4665">
      <w:pPr>
        <w:spacing w:after="120" w:line="401" w:lineRule="auto"/>
        <w:ind w:left="-5" w:hanging="10"/>
        <w:jc w:val="both"/>
        <w:rPr>
          <w:rFonts w:ascii="Arial" w:eastAsia="Gill Sans MT" w:hAnsi="Arial" w:cs="Arial"/>
          <w:color w:val="000000"/>
        </w:rPr>
      </w:pPr>
      <w:r w:rsidRPr="006D26CE">
        <w:rPr>
          <w:rFonts w:ascii="Arial" w:eastAsia="Gill Sans MT" w:hAnsi="Arial" w:cs="Arial"/>
          <w:color w:val="000000"/>
        </w:rPr>
        <w:t>The counselling offered adheres to the Good Practice for Counselling in Schools (4</w:t>
      </w:r>
      <w:r w:rsidRPr="006D26CE">
        <w:rPr>
          <w:rFonts w:ascii="Arial" w:eastAsia="Gill Sans MT" w:hAnsi="Arial" w:cs="Arial"/>
          <w:color w:val="000000"/>
          <w:vertAlign w:val="superscript"/>
        </w:rPr>
        <w:t>th</w:t>
      </w:r>
      <w:r w:rsidRPr="006D26CE">
        <w:rPr>
          <w:rFonts w:ascii="Arial" w:hAnsi="Arial" w:cs="Arial"/>
          <w:color w:val="000000"/>
        </w:rPr>
        <w:t>​</w:t>
      </w:r>
      <w:r w:rsidRPr="006D26CE">
        <w:rPr>
          <w:rFonts w:ascii="Arial" w:eastAsia="Gill Sans MT" w:hAnsi="Arial" w:cs="Arial"/>
          <w:color w:val="000000"/>
        </w:rPr>
        <w:t xml:space="preserve"> edition) produced by the British Association of Counselling and Psychotherapy (BACP) .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It can help us to understand our relationships better and improve them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It can help us to increase our level of self- awareness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It can help us to explore our feelings, and understand and manage them better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It can help us to recognise unhelpful thought patterns and adopt new ones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It can help us to recognise the past and current behaviours which we do not want to take in to the future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It can help us to improve our communication skills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It offers a place to reflect upon oneself and our relationship with the world  </w:t>
      </w:r>
    </w:p>
    <w:p w:rsidR="00386CC8" w:rsidRPr="00CF4665"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Young people face many challenges whilst growing up, and may find at times that they need someone to talk to external to either home or school. Counselling is a process which offers support and guidance when things feel particularly difficult. The counsellor will provide a safe and confidential space for a young person to explore thoughts and feelings which perhaps are overwhelming and upsetting, in a drive to enable change. </w:t>
      </w:r>
    </w:p>
    <w:p w:rsidR="006D26CE" w:rsidRPr="006D26CE" w:rsidRDefault="006D26CE" w:rsidP="00CF4665">
      <w:pPr>
        <w:spacing w:after="120" w:line="259" w:lineRule="auto"/>
        <w:ind w:left="-5" w:hanging="10"/>
        <w:jc w:val="both"/>
        <w:rPr>
          <w:rFonts w:ascii="Arial" w:eastAsia="Gill Sans MT" w:hAnsi="Arial" w:cs="Arial"/>
          <w:color w:val="000000"/>
        </w:rPr>
      </w:pPr>
      <w:r w:rsidRPr="006D26CE">
        <w:rPr>
          <w:rFonts w:ascii="Arial" w:eastAsia="Gill Sans MT" w:hAnsi="Arial" w:cs="Arial"/>
          <w:b/>
          <w:color w:val="000000"/>
        </w:rPr>
        <w:t xml:space="preserve">Issues young people may be struggling with: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Peer pressure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Academic pressure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Parental divorce or separation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Bullying </w:t>
      </w:r>
    </w:p>
    <w:p w:rsidR="006D26CE" w:rsidRPr="006D26CE" w:rsidRDefault="006D26CE" w:rsidP="00CF4665">
      <w:pPr>
        <w:spacing w:after="120" w:line="271" w:lineRule="auto"/>
        <w:ind w:left="731" w:right="5477" w:hanging="10"/>
        <w:jc w:val="both"/>
        <w:rPr>
          <w:rFonts w:ascii="Arial" w:eastAsia="Gill Sans MT" w:hAnsi="Arial" w:cs="Arial"/>
          <w:color w:val="000000"/>
        </w:rPr>
      </w:pPr>
      <w:r w:rsidRPr="006D26CE">
        <w:rPr>
          <w:rFonts w:ascii="Arial" w:eastAsia="Gill Sans MT" w:hAnsi="Arial" w:cs="Arial"/>
          <w:color w:val="000000"/>
        </w:rPr>
        <w:t xml:space="preserve">Drugs and /or alcohol Sexual health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Arrival of new sibling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Low mood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Anxiety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Exam stress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Bereavement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lastRenderedPageBreak/>
        <w:t xml:space="preserve">Confusion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Self- harm  </w:t>
      </w:r>
    </w:p>
    <w:p w:rsidR="006D26CE" w:rsidRPr="006D26CE" w:rsidRDefault="006D26CE" w:rsidP="00CF4665">
      <w:pPr>
        <w:spacing w:after="120" w:line="271" w:lineRule="auto"/>
        <w:ind w:left="731" w:hanging="10"/>
        <w:jc w:val="both"/>
        <w:rPr>
          <w:rFonts w:ascii="Arial" w:eastAsia="Gill Sans MT" w:hAnsi="Arial" w:cs="Arial"/>
          <w:color w:val="000000"/>
        </w:rPr>
      </w:pPr>
      <w:r w:rsidRPr="006D26CE">
        <w:rPr>
          <w:rFonts w:ascii="Arial" w:eastAsia="Gill Sans MT" w:hAnsi="Arial" w:cs="Arial"/>
          <w:color w:val="000000"/>
        </w:rPr>
        <w:t xml:space="preserve">Eating disorders </w:t>
      </w:r>
    </w:p>
    <w:p w:rsidR="006D26CE" w:rsidRPr="006D26CE" w:rsidRDefault="006D26CE" w:rsidP="00CF4665">
      <w:pPr>
        <w:spacing w:after="120" w:line="259" w:lineRule="auto"/>
        <w:jc w:val="both"/>
        <w:rPr>
          <w:rFonts w:ascii="Arial" w:eastAsia="Gill Sans MT" w:hAnsi="Arial" w:cs="Arial"/>
          <w:color w:val="000000"/>
        </w:rPr>
      </w:pPr>
      <w:r w:rsidRPr="006D26CE">
        <w:rPr>
          <w:rFonts w:ascii="Arial" w:eastAsia="Gill Sans MT" w:hAnsi="Arial" w:cs="Arial"/>
          <w:b/>
          <w:color w:val="000000"/>
        </w:rPr>
        <w:t xml:space="preserve"> </w:t>
      </w:r>
    </w:p>
    <w:p w:rsidR="006D26CE" w:rsidRPr="006D26CE" w:rsidRDefault="006D26CE" w:rsidP="00CF4665">
      <w:pPr>
        <w:keepNext/>
        <w:keepLines/>
        <w:spacing w:after="120" w:line="259" w:lineRule="auto"/>
        <w:ind w:left="-5" w:hanging="10"/>
        <w:jc w:val="both"/>
        <w:outlineLvl w:val="0"/>
        <w:rPr>
          <w:rFonts w:ascii="Arial" w:eastAsia="Gill Sans MT" w:hAnsi="Arial" w:cs="Arial"/>
          <w:b/>
          <w:color w:val="000000"/>
        </w:rPr>
      </w:pPr>
      <w:r w:rsidRPr="006D26CE">
        <w:rPr>
          <w:rFonts w:ascii="Arial" w:eastAsia="Gill Sans MT" w:hAnsi="Arial" w:cs="Arial"/>
          <w:b/>
          <w:color w:val="000000"/>
        </w:rPr>
        <w:t xml:space="preserve">Referrals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All referrals for counselling w</w:t>
      </w:r>
      <w:r w:rsidR="00386CC8">
        <w:rPr>
          <w:rFonts w:ascii="Arial" w:eastAsia="Gill Sans MT" w:hAnsi="Arial" w:cs="Arial"/>
          <w:color w:val="000000"/>
        </w:rPr>
        <w:t>ould come via the Heads of Year</w:t>
      </w:r>
      <w:r w:rsidRPr="006D26CE">
        <w:rPr>
          <w:rFonts w:ascii="Arial" w:eastAsia="Gill Sans MT" w:hAnsi="Arial" w:cs="Arial"/>
          <w:color w:val="000000"/>
        </w:rPr>
        <w:t xml:space="preserve">.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All referrals from members of staff will have to provide a referral form for the counsellor before an appointment is made. This acts as a primary link to understanding the issues that the young person is facing and provides some useful background information.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If it is deemed that school counselling is the most appropriate course of support, students will be introduced to the school counsellor following the referral and advised that drop in sessions are available until the initial appointment can be made.  Appointments will be allocated in order of priority and sessions wi</w:t>
      </w:r>
      <w:r w:rsidR="00997F54">
        <w:rPr>
          <w:rFonts w:ascii="Arial" w:eastAsia="Gill Sans MT" w:hAnsi="Arial" w:cs="Arial"/>
          <w:color w:val="000000"/>
        </w:rPr>
        <w:t>ll normally commence up to 12</w:t>
      </w:r>
      <w:r w:rsidRPr="006D26CE">
        <w:rPr>
          <w:rFonts w:ascii="Arial" w:eastAsia="Gill Sans MT" w:hAnsi="Arial" w:cs="Arial"/>
          <w:color w:val="000000"/>
        </w:rPr>
        <w:t xml:space="preserve"> weeks after referral.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The young person may have needs that are not appropriate for counselling and require alternative intervention by specialist Psychiatric services to whom young people and their families can be referred to from school. The counsellor can assist in signposting to other relevant services.</w:t>
      </w:r>
      <w:r w:rsidRPr="006D26CE">
        <w:rPr>
          <w:rFonts w:ascii="Arial" w:eastAsia="Gill Sans MT" w:hAnsi="Arial" w:cs="Arial"/>
          <w:b/>
          <w:color w:val="000000"/>
        </w:rPr>
        <w:t xml:space="preserve"> </w:t>
      </w:r>
    </w:p>
    <w:p w:rsidR="006D26CE" w:rsidRPr="006D26CE" w:rsidRDefault="006D26CE" w:rsidP="00CF4665">
      <w:pPr>
        <w:keepNext/>
        <w:keepLines/>
        <w:spacing w:after="120" w:line="259" w:lineRule="auto"/>
        <w:jc w:val="both"/>
        <w:outlineLvl w:val="1"/>
        <w:rPr>
          <w:rFonts w:ascii="Arial" w:eastAsia="Gill Sans MT" w:hAnsi="Arial" w:cs="Arial"/>
          <w:b/>
          <w:color w:val="000000"/>
        </w:rPr>
      </w:pPr>
      <w:r w:rsidRPr="006D26CE">
        <w:rPr>
          <w:rFonts w:ascii="Arial" w:eastAsia="Gill Sans MT" w:hAnsi="Arial" w:cs="Arial"/>
          <w:b/>
          <w:color w:val="000000"/>
        </w:rPr>
        <w:t xml:space="preserve">Counselling Sessions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The counselling sessions will be offered on a weekly basis for approximately 6</w:t>
      </w:r>
      <w:r w:rsidR="00CF4665">
        <w:rPr>
          <w:rFonts w:ascii="Arial" w:eastAsia="Gill Sans MT" w:hAnsi="Arial" w:cs="Arial"/>
          <w:color w:val="000000"/>
        </w:rPr>
        <w:t xml:space="preserve"> </w:t>
      </w:r>
      <w:r w:rsidRPr="006D26CE">
        <w:rPr>
          <w:rFonts w:ascii="Arial" w:eastAsia="Gill Sans MT" w:hAnsi="Arial" w:cs="Arial"/>
          <w:color w:val="000000"/>
        </w:rPr>
        <w:t>-</w:t>
      </w:r>
      <w:r w:rsidR="00CF4665">
        <w:rPr>
          <w:rFonts w:ascii="Arial" w:eastAsia="Gill Sans MT" w:hAnsi="Arial" w:cs="Arial"/>
          <w:color w:val="000000"/>
        </w:rPr>
        <w:t xml:space="preserve"> </w:t>
      </w:r>
      <w:r w:rsidRPr="006D26CE">
        <w:rPr>
          <w:rFonts w:ascii="Arial" w:eastAsia="Gill Sans MT" w:hAnsi="Arial" w:cs="Arial"/>
          <w:color w:val="000000"/>
        </w:rPr>
        <w:t>12 weeks, though this can vary according to need and circumstances. The actual session will last for approximately 50 minutes</w:t>
      </w:r>
      <w:r w:rsidR="00997F54">
        <w:rPr>
          <w:rFonts w:ascii="Arial" w:eastAsia="Gill Sans MT" w:hAnsi="Arial" w:cs="Arial"/>
          <w:color w:val="000000"/>
        </w:rPr>
        <w:t xml:space="preserve"> to one hour</w:t>
      </w:r>
      <w:r w:rsidRPr="006D26CE">
        <w:rPr>
          <w:rFonts w:ascii="Arial" w:eastAsia="Gill Sans MT" w:hAnsi="Arial" w:cs="Arial"/>
          <w:color w:val="000000"/>
        </w:rPr>
        <w:t xml:space="preserve"> and the appointment times are varied so that the same subject is not missed each week. Students are seen in the counsellor’s room so as to provide continuity and facilitate a safe containing therapeutic space in which individual difficulties can be explored.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In the counselling sessions the student can discuss various aspects of their life and feelings, talking about them freely and openly in a way that is rarely possible with friends or family. Bottled up feelings such as anger, anxiety, grief and embarrassment can become very intense and counselling offers an opportunity to explore them, with the possibility of making them easier to understand. The counsellor will encourage the expression of feelings and as a result of their training will be able to reflect the client’s problems without becoming burdened by them.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Students may also attend twice weekly drop in lunch time  sessions where they can just turn up to maybe off load something that is worrying them or to find out more about counselling and how </w:t>
      </w:r>
      <w:r w:rsidR="00CF4665">
        <w:rPr>
          <w:rFonts w:ascii="Arial" w:eastAsia="Gill Sans MT" w:hAnsi="Arial" w:cs="Arial"/>
          <w:color w:val="000000"/>
        </w:rPr>
        <w:t>it may benefit them. These drop</w:t>
      </w:r>
      <w:r w:rsidRPr="006D26CE">
        <w:rPr>
          <w:rFonts w:ascii="Arial" w:eastAsia="Gill Sans MT" w:hAnsi="Arial" w:cs="Arial"/>
          <w:color w:val="000000"/>
        </w:rPr>
        <w:t xml:space="preserve">-in can sometimes lead to weekly sessions being offered in the future depending on the availability of the counsellor.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Due to the nature of counselling students are seen individually though some specific group work is offered. Although they can be encouraged or recommendations can be made to attend, ultimately the young person must have the choice as counselling is voluntary. </w:t>
      </w:r>
    </w:p>
    <w:p w:rsidR="006D26CE" w:rsidRPr="006D26CE" w:rsidRDefault="006D26CE" w:rsidP="00CF4665">
      <w:pPr>
        <w:keepNext/>
        <w:keepLines/>
        <w:spacing w:after="120" w:line="259" w:lineRule="auto"/>
        <w:ind w:left="-5" w:hanging="10"/>
        <w:jc w:val="both"/>
        <w:outlineLvl w:val="0"/>
        <w:rPr>
          <w:rFonts w:ascii="Arial" w:eastAsia="Gill Sans MT" w:hAnsi="Arial" w:cs="Arial"/>
          <w:b/>
          <w:color w:val="000000"/>
        </w:rPr>
      </w:pPr>
      <w:r w:rsidRPr="006D26CE">
        <w:rPr>
          <w:rFonts w:ascii="Arial" w:eastAsia="Gill Sans MT" w:hAnsi="Arial" w:cs="Arial"/>
          <w:b/>
          <w:color w:val="000000"/>
        </w:rPr>
        <w:t xml:space="preserve">Confidentiality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All young people are entitled to confidentiality as outlined by the BACP (British Association of Counsellor and Psychotherapists) Code of Ethics. This means that the information they bring to the session will be held in confidence between themselves and the counsellor.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The counsellor will however state that they may need to break confidentiality should they deem the young person to be at significant risk to themselves or others.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At this point information may need to be shared with the designated safeguarding team, who would decide whether a referral would need to be made to an outside agency.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lastRenderedPageBreak/>
        <w:t xml:space="preserve">Confidential records are kept securely by the counsellor, separate from other information held by school on the student. </w:t>
      </w:r>
    </w:p>
    <w:p w:rsidR="00CF4665" w:rsidRDefault="006D26CE" w:rsidP="00CF4665">
      <w:pPr>
        <w:spacing w:after="120" w:line="271" w:lineRule="auto"/>
        <w:ind w:left="-6" w:hanging="11"/>
        <w:jc w:val="both"/>
        <w:rPr>
          <w:rFonts w:ascii="Arial" w:eastAsia="Gill Sans MT" w:hAnsi="Arial" w:cs="Arial"/>
          <w:color w:val="000000"/>
        </w:rPr>
      </w:pPr>
      <w:r w:rsidRPr="006D26CE">
        <w:rPr>
          <w:rFonts w:ascii="Arial" w:eastAsia="Gill Sans MT" w:hAnsi="Arial" w:cs="Arial"/>
          <w:color w:val="000000"/>
        </w:rPr>
        <w:t xml:space="preserve">Counselling records consist of notes on sessions held with students with details of the issues discussed. </w:t>
      </w:r>
    </w:p>
    <w:p w:rsidR="00CF4665" w:rsidRPr="00CF4665" w:rsidRDefault="00CF4665" w:rsidP="00CF4665">
      <w:pPr>
        <w:spacing w:after="120" w:line="271" w:lineRule="auto"/>
        <w:ind w:left="-6" w:hanging="11"/>
        <w:jc w:val="both"/>
        <w:rPr>
          <w:rFonts w:ascii="Arial" w:eastAsia="Gill Sans MT" w:hAnsi="Arial" w:cs="Arial"/>
          <w:color w:val="000000"/>
        </w:rPr>
      </w:pPr>
      <w:r>
        <w:rPr>
          <w:rFonts w:ascii="Arial" w:eastAsia="Times New Roman" w:hAnsi="Arial" w:cs="Arial"/>
          <w:color w:val="000000"/>
        </w:rPr>
        <w:t>T</w:t>
      </w:r>
      <w:r w:rsidRPr="00CF4665">
        <w:rPr>
          <w:rFonts w:ascii="Arial" w:eastAsia="Times New Roman" w:hAnsi="Arial" w:cs="Arial"/>
          <w:color w:val="000000"/>
        </w:rPr>
        <w:t xml:space="preserve">his may also be broken if the student discloses </w:t>
      </w:r>
      <w:r w:rsidRPr="00CF4665">
        <w:rPr>
          <w:rFonts w:ascii="Arial" w:eastAsia="Times New Roman" w:hAnsi="Arial" w:cs="Arial"/>
          <w:color w:val="000000"/>
          <w:u w:val="single"/>
        </w:rPr>
        <w:t>any other</w:t>
      </w:r>
      <w:r w:rsidRPr="00CF4665">
        <w:rPr>
          <w:rFonts w:ascii="Arial" w:eastAsia="Times New Roman" w:hAnsi="Arial" w:cs="Arial"/>
          <w:color w:val="000000"/>
        </w:rPr>
        <w:t> child, young person or vulnerable adult is deemed at ris</w:t>
      </w:r>
      <w:r>
        <w:rPr>
          <w:rFonts w:ascii="Arial" w:eastAsia="Times New Roman" w:hAnsi="Arial" w:cs="Arial"/>
          <w:color w:val="000000"/>
        </w:rPr>
        <w:t>k of serious harm or neglect.</w:t>
      </w:r>
    </w:p>
    <w:p w:rsidR="006D26CE" w:rsidRPr="006D26CE" w:rsidRDefault="006D26CE" w:rsidP="00CF4665">
      <w:pPr>
        <w:keepNext/>
        <w:keepLines/>
        <w:spacing w:after="120" w:line="259" w:lineRule="auto"/>
        <w:ind w:left="-5" w:hanging="10"/>
        <w:jc w:val="both"/>
        <w:outlineLvl w:val="0"/>
        <w:rPr>
          <w:rFonts w:ascii="Arial" w:eastAsia="Gill Sans MT" w:hAnsi="Arial" w:cs="Arial"/>
          <w:b/>
          <w:color w:val="000000"/>
        </w:rPr>
      </w:pPr>
      <w:r w:rsidRPr="006D26CE">
        <w:rPr>
          <w:rFonts w:ascii="Arial" w:eastAsia="Gill Sans MT" w:hAnsi="Arial" w:cs="Arial"/>
          <w:b/>
          <w:color w:val="000000"/>
        </w:rPr>
        <w:t xml:space="preserve">Gillick Competence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“As a general principle it is legal and acceptable for a young person to ask for confidential counselling without parental consent providing they are of sufficient understanding and intelligence.” ( Gillick v West Norfolk AHA, House of Lords 1985)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Since this ruling all young people are entitled to confidential counselling. Gillick competence will be assessed by the counsellor in the first session with the young person and if deemed competent the young person will be able to give consent to counselling. </w:t>
      </w:r>
    </w:p>
    <w:p w:rsidR="006D26CE" w:rsidRPr="006D26CE" w:rsidRDefault="006D26CE" w:rsidP="00CF4665">
      <w:pPr>
        <w:spacing w:after="120" w:line="259" w:lineRule="auto"/>
        <w:jc w:val="both"/>
        <w:rPr>
          <w:rFonts w:ascii="Arial" w:eastAsia="Gill Sans MT" w:hAnsi="Arial" w:cs="Arial"/>
          <w:color w:val="000000"/>
        </w:rPr>
      </w:pPr>
      <w:r w:rsidRPr="006D26CE">
        <w:rPr>
          <w:rFonts w:ascii="Arial" w:eastAsia="Gill Sans MT" w:hAnsi="Arial" w:cs="Arial"/>
          <w:color w:val="000000"/>
        </w:rPr>
        <w:t xml:space="preserve">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Assessment of competence based on the Gillick principle depends on:  </w:t>
      </w:r>
    </w:p>
    <w:p w:rsidR="006D26CE" w:rsidRPr="006D26CE" w:rsidRDefault="006D26CE" w:rsidP="00CF4665">
      <w:pPr>
        <w:numPr>
          <w:ilvl w:val="0"/>
          <w:numId w:val="46"/>
        </w:numPr>
        <w:spacing w:after="120" w:line="271" w:lineRule="auto"/>
        <w:ind w:hanging="10"/>
        <w:jc w:val="both"/>
        <w:rPr>
          <w:rFonts w:ascii="Arial" w:eastAsia="Gill Sans MT" w:hAnsi="Arial" w:cs="Arial"/>
          <w:color w:val="000000"/>
        </w:rPr>
      </w:pPr>
      <w:r w:rsidRPr="006D26CE">
        <w:rPr>
          <w:rFonts w:ascii="Arial" w:eastAsia="Gill Sans MT" w:hAnsi="Arial" w:cs="Arial"/>
          <w:color w:val="000000"/>
        </w:rPr>
        <w:t xml:space="preserve">The maturity of the young person </w:t>
      </w:r>
    </w:p>
    <w:p w:rsidR="006D26CE" w:rsidRPr="006D26CE" w:rsidRDefault="006D26CE" w:rsidP="00CF4665">
      <w:pPr>
        <w:numPr>
          <w:ilvl w:val="0"/>
          <w:numId w:val="46"/>
        </w:numPr>
        <w:spacing w:after="120" w:line="271" w:lineRule="auto"/>
        <w:ind w:hanging="10"/>
        <w:jc w:val="both"/>
        <w:rPr>
          <w:rFonts w:ascii="Arial" w:eastAsia="Gill Sans MT" w:hAnsi="Arial" w:cs="Arial"/>
          <w:color w:val="000000"/>
        </w:rPr>
      </w:pPr>
      <w:r w:rsidRPr="006D26CE">
        <w:rPr>
          <w:rFonts w:ascii="Arial" w:eastAsia="Gill Sans MT" w:hAnsi="Arial" w:cs="Arial"/>
          <w:color w:val="000000"/>
        </w:rPr>
        <w:t xml:space="preserve">The young person having sufficient intelligence and understanding of the consequences of his or her actions </w:t>
      </w:r>
    </w:p>
    <w:p w:rsidR="006D26CE" w:rsidRPr="006D26CE" w:rsidRDefault="006D26CE" w:rsidP="00CF4665">
      <w:pPr>
        <w:numPr>
          <w:ilvl w:val="0"/>
          <w:numId w:val="46"/>
        </w:numPr>
        <w:spacing w:after="120" w:line="271" w:lineRule="auto"/>
        <w:ind w:hanging="10"/>
        <w:jc w:val="both"/>
        <w:rPr>
          <w:rFonts w:ascii="Arial" w:eastAsia="Gill Sans MT" w:hAnsi="Arial" w:cs="Arial"/>
          <w:color w:val="000000"/>
        </w:rPr>
      </w:pPr>
      <w:r w:rsidRPr="006D26CE">
        <w:rPr>
          <w:rFonts w:ascii="Arial" w:eastAsia="Gill Sans MT" w:hAnsi="Arial" w:cs="Arial"/>
          <w:color w:val="000000"/>
        </w:rPr>
        <w:t xml:space="preserve">The young person having sufficient intelligence and understanding to enable them to understand what is being proposed i.e  counselling. </w:t>
      </w:r>
    </w:p>
    <w:p w:rsidR="006D26CE" w:rsidRPr="006D26CE" w:rsidRDefault="006D26CE" w:rsidP="00CF4665">
      <w:pPr>
        <w:numPr>
          <w:ilvl w:val="0"/>
          <w:numId w:val="46"/>
        </w:numPr>
        <w:spacing w:after="120" w:line="271" w:lineRule="auto"/>
        <w:ind w:hanging="10"/>
        <w:jc w:val="both"/>
        <w:rPr>
          <w:rFonts w:ascii="Arial" w:eastAsia="Gill Sans MT" w:hAnsi="Arial" w:cs="Arial"/>
          <w:color w:val="000000"/>
        </w:rPr>
      </w:pPr>
      <w:r w:rsidRPr="006D26CE">
        <w:rPr>
          <w:rFonts w:ascii="Arial" w:eastAsia="Gill Sans MT" w:hAnsi="Arial" w:cs="Arial"/>
          <w:color w:val="000000"/>
        </w:rPr>
        <w:t xml:space="preserve">As a rule most secondary school students are deemed mature and intelligent enough to understand the counselling process, but there are occasionally those who are not. It is crucial at this point that parental consent is obtained. Every effort is made to engage parents and where appropriate, young people are encouraged to inform their parents that they are receiving counselling.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For any further information about the counselling service, please contact </w:t>
      </w:r>
      <w:r w:rsidR="00CF4665">
        <w:rPr>
          <w:rFonts w:ascii="Arial" w:eastAsia="Gill Sans MT" w:hAnsi="Arial" w:cs="Arial"/>
          <w:color w:val="000000"/>
        </w:rPr>
        <w:t>Mr Mattocks Assistant Headteacher</w:t>
      </w:r>
      <w:r w:rsidRPr="006D26CE">
        <w:rPr>
          <w:rFonts w:ascii="Arial" w:eastAsia="Gill Sans MT" w:hAnsi="Arial" w:cs="Arial"/>
          <w:color w:val="000000"/>
        </w:rPr>
        <w:t xml:space="preserve"> who would be happy to help.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As well as being available to individual students the counsellor, is involved in other aspects of school life, contributing to the pastoral care and emotional well-being of the wider school, therefore is a member of the Pastoral team within school.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The Counsellor has delivered CPD training sessions on Counselling within schools so that all staff are aware of the available provision within schools and the ways in which it can be accessed. </w:t>
      </w:r>
    </w:p>
    <w:p w:rsidR="006D26CE" w:rsidRPr="006D26CE" w:rsidRDefault="006D26CE" w:rsidP="00CF4665">
      <w:pPr>
        <w:spacing w:after="120" w:line="349" w:lineRule="auto"/>
        <w:ind w:left="-5" w:hanging="10"/>
        <w:jc w:val="both"/>
        <w:rPr>
          <w:rFonts w:ascii="Arial" w:eastAsia="Gill Sans MT" w:hAnsi="Arial" w:cs="Arial"/>
          <w:color w:val="000000"/>
        </w:rPr>
      </w:pPr>
      <w:r w:rsidRPr="006D26CE">
        <w:rPr>
          <w:rFonts w:ascii="Arial" w:eastAsia="Gill Sans MT" w:hAnsi="Arial" w:cs="Arial"/>
          <w:color w:val="000000"/>
        </w:rPr>
        <w:t>The counsellor is a Mindfulness practitioner and trained to deliver Mindfulness programmes for young people in schools. These have been delivered to Year 10 and 11’s and some 6</w:t>
      </w:r>
      <w:r w:rsidRPr="006D26CE">
        <w:rPr>
          <w:rFonts w:ascii="Arial" w:eastAsia="Gill Sans MT" w:hAnsi="Arial" w:cs="Arial"/>
          <w:color w:val="000000"/>
          <w:vertAlign w:val="superscript"/>
        </w:rPr>
        <w:t>th</w:t>
      </w:r>
      <w:r w:rsidRPr="006D26CE">
        <w:rPr>
          <w:rFonts w:ascii="Arial" w:hAnsi="Arial" w:cs="Arial"/>
          <w:color w:val="000000"/>
        </w:rPr>
        <w:t>​</w:t>
      </w:r>
      <w:r w:rsidRPr="006D26CE">
        <w:rPr>
          <w:rFonts w:ascii="Arial" w:eastAsia="Gill Sans MT" w:hAnsi="Arial" w:cs="Arial"/>
          <w:color w:val="000000"/>
        </w:rPr>
        <w:t xml:space="preserve"> Form students. </w:t>
      </w:r>
    </w:p>
    <w:p w:rsidR="006D26CE" w:rsidRPr="006D26CE" w:rsidRDefault="006D26CE" w:rsidP="00CF4665">
      <w:pPr>
        <w:spacing w:after="120" w:line="271" w:lineRule="auto"/>
        <w:ind w:left="-5" w:hanging="10"/>
        <w:jc w:val="both"/>
        <w:rPr>
          <w:rFonts w:ascii="Arial" w:eastAsia="Gill Sans MT" w:hAnsi="Arial" w:cs="Arial"/>
          <w:color w:val="000000"/>
        </w:rPr>
      </w:pPr>
      <w:r w:rsidRPr="006D26CE">
        <w:rPr>
          <w:rFonts w:ascii="Arial" w:eastAsia="Gill Sans MT" w:hAnsi="Arial" w:cs="Arial"/>
          <w:color w:val="000000"/>
        </w:rPr>
        <w:t xml:space="preserve">The counsellor in accordance with BACP guidelines receives regular clinical supervision which is accommodated and paid for by school. </w:t>
      </w:r>
    </w:p>
    <w:p w:rsidR="006D26CE" w:rsidRPr="006D26CE" w:rsidRDefault="00CF4665" w:rsidP="00CF4665">
      <w:pPr>
        <w:spacing w:after="120" w:line="271" w:lineRule="auto"/>
        <w:ind w:left="-5" w:hanging="10"/>
        <w:jc w:val="both"/>
        <w:rPr>
          <w:rFonts w:ascii="Arial" w:eastAsia="Gill Sans MT" w:hAnsi="Arial" w:cs="Arial"/>
          <w:color w:val="000000"/>
        </w:rPr>
      </w:pPr>
      <w:r>
        <w:rPr>
          <w:rFonts w:ascii="Arial" w:eastAsia="Gill Sans MT" w:hAnsi="Arial" w:cs="Arial"/>
          <w:color w:val="000000"/>
        </w:rPr>
        <w:t>The counsellor ensures they undertake</w:t>
      </w:r>
      <w:r w:rsidR="006D26CE" w:rsidRPr="006D26CE">
        <w:rPr>
          <w:rFonts w:ascii="Arial" w:eastAsia="Gill Sans MT" w:hAnsi="Arial" w:cs="Arial"/>
          <w:color w:val="000000"/>
        </w:rPr>
        <w:t xml:space="preserve"> relevant CPD training and keeps up to date with counselling theory to ensure best practice. </w:t>
      </w:r>
    </w:p>
    <w:p w:rsidR="006D26CE" w:rsidRPr="006D26CE" w:rsidRDefault="006D26CE" w:rsidP="00CF4665">
      <w:pPr>
        <w:spacing w:after="120" w:line="259" w:lineRule="auto"/>
        <w:jc w:val="both"/>
        <w:rPr>
          <w:rFonts w:ascii="Arial" w:eastAsia="Gill Sans MT" w:hAnsi="Arial" w:cs="Arial"/>
          <w:color w:val="000000"/>
        </w:rPr>
      </w:pPr>
      <w:r w:rsidRPr="006D26CE">
        <w:rPr>
          <w:rFonts w:ascii="Arial" w:eastAsia="Gill Sans MT" w:hAnsi="Arial" w:cs="Arial"/>
          <w:color w:val="000000"/>
        </w:rPr>
        <w:t xml:space="preserve">  </w:t>
      </w:r>
    </w:p>
    <w:p w:rsidR="00CB324D" w:rsidRPr="00386CC8" w:rsidRDefault="00CB324D" w:rsidP="00CF4665">
      <w:pPr>
        <w:spacing w:after="120" w:line="240" w:lineRule="auto"/>
        <w:jc w:val="both"/>
        <w:rPr>
          <w:rFonts w:ascii="Arial" w:eastAsia="Open Sans" w:hAnsi="Arial" w:cs="Arial"/>
          <w:b/>
        </w:rPr>
      </w:pPr>
    </w:p>
    <w:sectPr w:rsidR="00CB324D" w:rsidRPr="00386CC8" w:rsidSect="006D26CE">
      <w:footerReference w:type="default" r:id="rId8"/>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CD" w:rsidRDefault="008E3ECD">
      <w:pPr>
        <w:spacing w:after="0" w:line="240" w:lineRule="auto"/>
      </w:pPr>
      <w:r>
        <w:separator/>
      </w:r>
    </w:p>
  </w:endnote>
  <w:endnote w:type="continuationSeparator" w:id="0">
    <w:p w:rsidR="008E3ECD" w:rsidRDefault="008E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CD" w:rsidRDefault="008E3EC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4665">
      <w:rPr>
        <w:noProof/>
        <w:color w:val="000000"/>
      </w:rPr>
      <w:t>2</w:t>
    </w:r>
    <w:r>
      <w:rPr>
        <w:color w:val="000000"/>
      </w:rPr>
      <w:fldChar w:fldCharType="end"/>
    </w:r>
  </w:p>
  <w:p w:rsidR="008E3ECD" w:rsidRDefault="008E3EC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CD" w:rsidRDefault="008E3ECD">
      <w:pPr>
        <w:spacing w:after="0" w:line="240" w:lineRule="auto"/>
      </w:pPr>
      <w:r>
        <w:separator/>
      </w:r>
    </w:p>
  </w:footnote>
  <w:footnote w:type="continuationSeparator" w:id="0">
    <w:p w:rsidR="008E3ECD" w:rsidRDefault="008E3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C49"/>
    <w:multiLevelType w:val="multilevel"/>
    <w:tmpl w:val="57D2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72A2F"/>
    <w:multiLevelType w:val="multilevel"/>
    <w:tmpl w:val="0222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70C5E"/>
    <w:multiLevelType w:val="multilevel"/>
    <w:tmpl w:val="3D707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416D29"/>
    <w:multiLevelType w:val="multilevel"/>
    <w:tmpl w:val="2294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20766D"/>
    <w:multiLevelType w:val="multilevel"/>
    <w:tmpl w:val="132CD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C40A0"/>
    <w:multiLevelType w:val="multilevel"/>
    <w:tmpl w:val="1964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0A3A69"/>
    <w:multiLevelType w:val="multilevel"/>
    <w:tmpl w:val="0E9AA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26672A"/>
    <w:multiLevelType w:val="multilevel"/>
    <w:tmpl w:val="15CCA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733BBC"/>
    <w:multiLevelType w:val="multilevel"/>
    <w:tmpl w:val="D3FE4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FC1148"/>
    <w:multiLevelType w:val="multilevel"/>
    <w:tmpl w:val="7230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C6149B"/>
    <w:multiLevelType w:val="multilevel"/>
    <w:tmpl w:val="52AAA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5E4CF8"/>
    <w:multiLevelType w:val="multilevel"/>
    <w:tmpl w:val="2436A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FC72A8"/>
    <w:multiLevelType w:val="multilevel"/>
    <w:tmpl w:val="AFB09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1F1D6C"/>
    <w:multiLevelType w:val="multilevel"/>
    <w:tmpl w:val="EB34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4F6C99"/>
    <w:multiLevelType w:val="multilevel"/>
    <w:tmpl w:val="D8F4C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DA1863"/>
    <w:multiLevelType w:val="multilevel"/>
    <w:tmpl w:val="901A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FA4BDA"/>
    <w:multiLevelType w:val="multilevel"/>
    <w:tmpl w:val="7C541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86382C"/>
    <w:multiLevelType w:val="multilevel"/>
    <w:tmpl w:val="71C04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CD257D"/>
    <w:multiLevelType w:val="multilevel"/>
    <w:tmpl w:val="AD809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48258A"/>
    <w:multiLevelType w:val="multilevel"/>
    <w:tmpl w:val="8D42C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47161C"/>
    <w:multiLevelType w:val="multilevel"/>
    <w:tmpl w:val="D5001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DB0E51"/>
    <w:multiLevelType w:val="multilevel"/>
    <w:tmpl w:val="C1183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25D522F"/>
    <w:multiLevelType w:val="multilevel"/>
    <w:tmpl w:val="478889C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A348E8"/>
    <w:multiLevelType w:val="multilevel"/>
    <w:tmpl w:val="6CC43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215DF3"/>
    <w:multiLevelType w:val="multilevel"/>
    <w:tmpl w:val="0C847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96C1CFA"/>
    <w:multiLevelType w:val="multilevel"/>
    <w:tmpl w:val="CADCE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CF0B1C"/>
    <w:multiLevelType w:val="multilevel"/>
    <w:tmpl w:val="BE8C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DC6236"/>
    <w:multiLevelType w:val="multilevel"/>
    <w:tmpl w:val="F27C0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0904ED"/>
    <w:multiLevelType w:val="multilevel"/>
    <w:tmpl w:val="56A42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C5B3DCE"/>
    <w:multiLevelType w:val="multilevel"/>
    <w:tmpl w:val="70D41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314E1E"/>
    <w:multiLevelType w:val="multilevel"/>
    <w:tmpl w:val="3DF2F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C45435"/>
    <w:multiLevelType w:val="multilevel"/>
    <w:tmpl w:val="5970A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9993F40"/>
    <w:multiLevelType w:val="multilevel"/>
    <w:tmpl w:val="526A1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E61813"/>
    <w:multiLevelType w:val="multilevel"/>
    <w:tmpl w:val="A71E9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4D1E39"/>
    <w:multiLevelType w:val="multilevel"/>
    <w:tmpl w:val="32E4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F813AD"/>
    <w:multiLevelType w:val="multilevel"/>
    <w:tmpl w:val="0BA2B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2CB0022"/>
    <w:multiLevelType w:val="multilevel"/>
    <w:tmpl w:val="67CC9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DDC150A"/>
    <w:multiLevelType w:val="multilevel"/>
    <w:tmpl w:val="C59A3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8C49D6"/>
    <w:multiLevelType w:val="multilevel"/>
    <w:tmpl w:val="C24C9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4C229F4"/>
    <w:multiLevelType w:val="multilevel"/>
    <w:tmpl w:val="5C58F56C"/>
    <w:lvl w:ilvl="0">
      <w:start w:val="1"/>
      <w:numFmt w:val="bullet"/>
      <w:lvlText w:val="-"/>
      <w:lvlJc w:val="left"/>
      <w:pPr>
        <w:ind w:left="1080" w:hanging="360"/>
      </w:pPr>
      <w:rPr>
        <w:rFonts w:ascii="Tahoma" w:eastAsia="Tahoma" w:hAnsi="Tahoma" w:cs="Tahoma"/>
      </w:rPr>
    </w:lvl>
    <w:lvl w:ilvl="1">
      <w:start w:val="1"/>
      <w:numFmt w:val="bullet"/>
      <w:lvlText w:val="-"/>
      <w:lvlJc w:val="left"/>
      <w:pPr>
        <w:ind w:left="1800" w:hanging="360"/>
      </w:pPr>
      <w:rPr>
        <w:rFonts w:ascii="Tahoma" w:eastAsia="Tahoma" w:hAnsi="Tahoma" w:cs="Tahoma"/>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74163BC"/>
    <w:multiLevelType w:val="multilevel"/>
    <w:tmpl w:val="FB6AC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D34BDB"/>
    <w:multiLevelType w:val="multilevel"/>
    <w:tmpl w:val="9C6C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7E0348"/>
    <w:multiLevelType w:val="hybridMultilevel"/>
    <w:tmpl w:val="0D12D002"/>
    <w:lvl w:ilvl="0" w:tplc="9C003EE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4316E">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8094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929A1A">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B2597C">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12E83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E2963E">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026C2E">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A6A438">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5A247C"/>
    <w:multiLevelType w:val="multilevel"/>
    <w:tmpl w:val="D766E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007035"/>
    <w:multiLevelType w:val="multilevel"/>
    <w:tmpl w:val="F13AD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B50A41"/>
    <w:multiLevelType w:val="multilevel"/>
    <w:tmpl w:val="3B0E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5"/>
  </w:num>
  <w:num w:numId="3">
    <w:abstractNumId w:val="5"/>
  </w:num>
  <w:num w:numId="4">
    <w:abstractNumId w:val="37"/>
  </w:num>
  <w:num w:numId="5">
    <w:abstractNumId w:val="20"/>
  </w:num>
  <w:num w:numId="6">
    <w:abstractNumId w:val="39"/>
  </w:num>
  <w:num w:numId="7">
    <w:abstractNumId w:val="43"/>
  </w:num>
  <w:num w:numId="8">
    <w:abstractNumId w:val="32"/>
  </w:num>
  <w:num w:numId="9">
    <w:abstractNumId w:val="23"/>
  </w:num>
  <w:num w:numId="10">
    <w:abstractNumId w:val="24"/>
  </w:num>
  <w:num w:numId="11">
    <w:abstractNumId w:val="33"/>
  </w:num>
  <w:num w:numId="12">
    <w:abstractNumId w:val="26"/>
  </w:num>
  <w:num w:numId="13">
    <w:abstractNumId w:val="30"/>
  </w:num>
  <w:num w:numId="14">
    <w:abstractNumId w:val="1"/>
  </w:num>
  <w:num w:numId="15">
    <w:abstractNumId w:val="40"/>
  </w:num>
  <w:num w:numId="16">
    <w:abstractNumId w:val="12"/>
  </w:num>
  <w:num w:numId="17">
    <w:abstractNumId w:val="6"/>
  </w:num>
  <w:num w:numId="18">
    <w:abstractNumId w:val="45"/>
  </w:num>
  <w:num w:numId="19">
    <w:abstractNumId w:val="9"/>
  </w:num>
  <w:num w:numId="20">
    <w:abstractNumId w:val="3"/>
  </w:num>
  <w:num w:numId="21">
    <w:abstractNumId w:val="0"/>
  </w:num>
  <w:num w:numId="22">
    <w:abstractNumId w:val="29"/>
  </w:num>
  <w:num w:numId="23">
    <w:abstractNumId w:val="27"/>
  </w:num>
  <w:num w:numId="24">
    <w:abstractNumId w:val="41"/>
  </w:num>
  <w:num w:numId="25">
    <w:abstractNumId w:val="10"/>
  </w:num>
  <w:num w:numId="26">
    <w:abstractNumId w:val="4"/>
  </w:num>
  <w:num w:numId="27">
    <w:abstractNumId w:val="13"/>
  </w:num>
  <w:num w:numId="28">
    <w:abstractNumId w:val="35"/>
  </w:num>
  <w:num w:numId="29">
    <w:abstractNumId w:val="31"/>
  </w:num>
  <w:num w:numId="30">
    <w:abstractNumId w:val="15"/>
  </w:num>
  <w:num w:numId="31">
    <w:abstractNumId w:val="21"/>
  </w:num>
  <w:num w:numId="32">
    <w:abstractNumId w:val="16"/>
  </w:num>
  <w:num w:numId="33">
    <w:abstractNumId w:val="36"/>
  </w:num>
  <w:num w:numId="34">
    <w:abstractNumId w:val="34"/>
  </w:num>
  <w:num w:numId="35">
    <w:abstractNumId w:val="18"/>
  </w:num>
  <w:num w:numId="36">
    <w:abstractNumId w:val="44"/>
  </w:num>
  <w:num w:numId="37">
    <w:abstractNumId w:val="28"/>
  </w:num>
  <w:num w:numId="38">
    <w:abstractNumId w:val="17"/>
  </w:num>
  <w:num w:numId="39">
    <w:abstractNumId w:val="38"/>
  </w:num>
  <w:num w:numId="40">
    <w:abstractNumId w:val="11"/>
  </w:num>
  <w:num w:numId="41">
    <w:abstractNumId w:val="22"/>
  </w:num>
  <w:num w:numId="42">
    <w:abstractNumId w:val="14"/>
  </w:num>
  <w:num w:numId="43">
    <w:abstractNumId w:val="7"/>
  </w:num>
  <w:num w:numId="44">
    <w:abstractNumId w:val="19"/>
  </w:num>
  <w:num w:numId="45">
    <w:abstractNumId w:val="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4D"/>
    <w:rsid w:val="00062EF4"/>
    <w:rsid w:val="00366809"/>
    <w:rsid w:val="00386CC8"/>
    <w:rsid w:val="005B00BA"/>
    <w:rsid w:val="00674A7E"/>
    <w:rsid w:val="006D26CE"/>
    <w:rsid w:val="00766071"/>
    <w:rsid w:val="00890560"/>
    <w:rsid w:val="008C2650"/>
    <w:rsid w:val="008E3ECD"/>
    <w:rsid w:val="00997F54"/>
    <w:rsid w:val="00C750D3"/>
    <w:rsid w:val="00CB324D"/>
    <w:rsid w:val="00CF4665"/>
    <w:rsid w:val="00E92FFE"/>
    <w:rsid w:val="00EC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3D10"/>
  <w15:docId w15:val="{B9B2A674-F043-4ED7-9A1F-021E8104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b/>
      <w:sz w:val="28"/>
      <w:szCs w:val="28"/>
    </w:rPr>
  </w:style>
  <w:style w:type="paragraph" w:styleId="Heading3">
    <w:name w:val="heading 3"/>
    <w:basedOn w:val="Normal"/>
    <w:next w:val="Normal"/>
    <w:pPr>
      <w:keepNext/>
      <w:keepLines/>
      <w:spacing w:before="200" w:after="0" w:line="240" w:lineRule="auto"/>
      <w:outlineLvl w:val="2"/>
    </w:pPr>
    <w:rPr>
      <w:rFonts w:ascii="Open Sans" w:eastAsia="Open Sans" w:hAnsi="Open Sans" w:cs="Open Sans"/>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766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Brooks</dc:creator>
  <cp:lastModifiedBy>Emily Brooks</cp:lastModifiedBy>
  <cp:revision>2</cp:revision>
  <dcterms:created xsi:type="dcterms:W3CDTF">2024-01-16T15:27:00Z</dcterms:created>
  <dcterms:modified xsi:type="dcterms:W3CDTF">2024-01-16T15:27:00Z</dcterms:modified>
</cp:coreProperties>
</file>